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CD7B7" w14:textId="77777777" w:rsidR="00B24A9A" w:rsidRDefault="00B24A9A" w:rsidP="00327460">
      <w:pPr>
        <w:spacing w:before="0" w:after="0" w:line="240" w:lineRule="auto"/>
        <w:jc w:val="left"/>
        <w:rPr>
          <w:rFonts w:cs="Arial"/>
          <w:b/>
          <w:sz w:val="28"/>
          <w:szCs w:val="28"/>
        </w:rPr>
      </w:pPr>
    </w:p>
    <w:p w14:paraId="623C4119" w14:textId="77777777" w:rsidR="0032250E" w:rsidRPr="0032250E" w:rsidRDefault="0032250E" w:rsidP="00327460">
      <w:pPr>
        <w:spacing w:before="0" w:after="0" w:line="240" w:lineRule="auto"/>
        <w:jc w:val="left"/>
        <w:rPr>
          <w:rFonts w:cs="Arial"/>
          <w:b/>
          <w:sz w:val="28"/>
          <w:szCs w:val="28"/>
        </w:rPr>
      </w:pPr>
      <w:r w:rsidRPr="0032250E">
        <w:rPr>
          <w:rFonts w:cs="Arial"/>
          <w:b/>
          <w:sz w:val="28"/>
          <w:szCs w:val="28"/>
        </w:rPr>
        <w:t>STYRELSENS FÖRSLAG TILL BESLUT OM</w:t>
      </w:r>
    </w:p>
    <w:p w14:paraId="3C9A5012" w14:textId="40EBF906" w:rsidR="0032250E" w:rsidRPr="0032250E" w:rsidRDefault="0032250E" w:rsidP="00327460">
      <w:pPr>
        <w:spacing w:before="0" w:after="0" w:line="240" w:lineRule="auto"/>
        <w:jc w:val="left"/>
        <w:rPr>
          <w:rFonts w:cs="Arial"/>
          <w:b/>
          <w:sz w:val="28"/>
          <w:szCs w:val="28"/>
        </w:rPr>
      </w:pPr>
      <w:r w:rsidRPr="0032250E">
        <w:rPr>
          <w:rFonts w:cs="Arial"/>
          <w:b/>
          <w:sz w:val="28"/>
          <w:szCs w:val="28"/>
        </w:rPr>
        <w:t>EMISSION AV KONVERTIBLER - K2</w:t>
      </w:r>
      <w:r w:rsidR="00F639D3">
        <w:rPr>
          <w:rFonts w:cs="Arial"/>
          <w:b/>
          <w:sz w:val="28"/>
          <w:szCs w:val="28"/>
        </w:rPr>
        <w:t>3</w:t>
      </w:r>
    </w:p>
    <w:p w14:paraId="06FEA346" w14:textId="77777777" w:rsidR="0032250E" w:rsidRPr="0032250E" w:rsidRDefault="0032250E" w:rsidP="00327460">
      <w:pPr>
        <w:pBdr>
          <w:bottom w:val="single" w:sz="12" w:space="1" w:color="auto"/>
        </w:pBdr>
        <w:spacing w:before="0" w:after="0" w:line="240" w:lineRule="auto"/>
        <w:jc w:val="left"/>
        <w:rPr>
          <w:rFonts w:cs="Arial"/>
          <w:b/>
          <w:sz w:val="28"/>
          <w:szCs w:val="28"/>
        </w:rPr>
      </w:pPr>
    </w:p>
    <w:p w14:paraId="71CA7B02" w14:textId="77777777" w:rsidR="0032250E" w:rsidRPr="0032250E" w:rsidRDefault="0032250E" w:rsidP="00327460">
      <w:pPr>
        <w:spacing w:before="0" w:after="0" w:line="240" w:lineRule="auto"/>
        <w:jc w:val="left"/>
        <w:rPr>
          <w:rFonts w:cs="Arial"/>
          <w:b/>
          <w:sz w:val="28"/>
          <w:szCs w:val="28"/>
        </w:rPr>
      </w:pPr>
    </w:p>
    <w:p w14:paraId="7FDDFFF9" w14:textId="77777777" w:rsidR="0032250E" w:rsidRPr="008F5B5E" w:rsidRDefault="0032250E" w:rsidP="00327460">
      <w:pPr>
        <w:spacing w:before="0" w:after="0" w:line="240" w:lineRule="auto"/>
        <w:jc w:val="left"/>
        <w:rPr>
          <w:rFonts w:cs="Arial"/>
          <w:b/>
          <w:sz w:val="20"/>
        </w:rPr>
      </w:pPr>
      <w:r w:rsidRPr="008F5B5E">
        <w:rPr>
          <w:rFonts w:cs="Arial"/>
          <w:b/>
          <w:sz w:val="20"/>
        </w:rPr>
        <w:t>Bakgrund till styrelsens förslag</w:t>
      </w:r>
    </w:p>
    <w:p w14:paraId="02B1E43A" w14:textId="77777777" w:rsidR="0032250E" w:rsidRPr="0032250E" w:rsidRDefault="0032250E" w:rsidP="00327460">
      <w:pPr>
        <w:spacing w:before="0" w:after="0" w:line="240" w:lineRule="auto"/>
        <w:jc w:val="left"/>
        <w:rPr>
          <w:rFonts w:cs="Arial"/>
          <w:sz w:val="20"/>
        </w:rPr>
      </w:pPr>
    </w:p>
    <w:p w14:paraId="7D8D46C7" w14:textId="71541D53" w:rsidR="00296F1C" w:rsidRPr="00C02600" w:rsidRDefault="00296F1C" w:rsidP="00327460">
      <w:pPr>
        <w:jc w:val="left"/>
        <w:rPr>
          <w:sz w:val="20"/>
        </w:rPr>
      </w:pPr>
      <w:r w:rsidRPr="00C02600">
        <w:rPr>
          <w:sz w:val="20"/>
        </w:rPr>
        <w:t>Konvertibler i konvertibelprogram K2</w:t>
      </w:r>
      <w:r w:rsidR="00F639D3">
        <w:rPr>
          <w:sz w:val="20"/>
        </w:rPr>
        <w:t>1</w:t>
      </w:r>
      <w:r w:rsidRPr="00C02600">
        <w:rPr>
          <w:sz w:val="20"/>
        </w:rPr>
        <w:t xml:space="preserve">, motsvarande ett belopp om </w:t>
      </w:r>
      <w:r w:rsidR="00F639D3">
        <w:rPr>
          <w:sz w:val="20"/>
        </w:rPr>
        <w:t>2 050 000</w:t>
      </w:r>
      <w:r w:rsidRPr="00C02600">
        <w:rPr>
          <w:sz w:val="20"/>
        </w:rPr>
        <w:t xml:space="preserve"> kronor, kommer att förfalla till betalning</w:t>
      </w:r>
      <w:r w:rsidR="00F639D3">
        <w:rPr>
          <w:sz w:val="20"/>
        </w:rPr>
        <w:t xml:space="preserve"> den 30 april 202</w:t>
      </w:r>
      <w:r w:rsidR="00304B86">
        <w:rPr>
          <w:sz w:val="20"/>
        </w:rPr>
        <w:t>1</w:t>
      </w:r>
      <w:r w:rsidRPr="00C02600">
        <w:rPr>
          <w:sz w:val="20"/>
        </w:rPr>
        <w:t>, i den mån konvertering inte har skett under konverteringsperioden. Konvertibelinnehavarna i K2</w:t>
      </w:r>
      <w:r w:rsidR="00F639D3">
        <w:rPr>
          <w:sz w:val="20"/>
        </w:rPr>
        <w:t>1</w:t>
      </w:r>
      <w:r w:rsidRPr="00C02600">
        <w:rPr>
          <w:sz w:val="20"/>
        </w:rPr>
        <w:t xml:space="preserve"> erbjuds att - istället för att kräva kontant betalning av fordringar enligt K2</w:t>
      </w:r>
      <w:r w:rsidR="00F639D3">
        <w:rPr>
          <w:sz w:val="20"/>
        </w:rPr>
        <w:t>1</w:t>
      </w:r>
      <w:r w:rsidRPr="00C02600">
        <w:rPr>
          <w:sz w:val="20"/>
        </w:rPr>
        <w:t xml:space="preserve"> - teckna nya konvertibler med en löptid till och med den </w:t>
      </w:r>
      <w:r w:rsidR="00F639D3">
        <w:rPr>
          <w:sz w:val="20"/>
        </w:rPr>
        <w:t>30</w:t>
      </w:r>
      <w:r w:rsidRPr="00C02600">
        <w:rPr>
          <w:sz w:val="20"/>
        </w:rPr>
        <w:t xml:space="preserve"> </w:t>
      </w:r>
      <w:r w:rsidR="00EB065A">
        <w:rPr>
          <w:sz w:val="20"/>
        </w:rPr>
        <w:t>november</w:t>
      </w:r>
      <w:r w:rsidR="00F639D3">
        <w:rPr>
          <w:sz w:val="20"/>
        </w:rPr>
        <w:t xml:space="preserve"> </w:t>
      </w:r>
      <w:r w:rsidRPr="00C02600">
        <w:rPr>
          <w:sz w:val="20"/>
        </w:rPr>
        <w:t>202</w:t>
      </w:r>
      <w:r w:rsidR="00EB065A">
        <w:rPr>
          <w:sz w:val="20"/>
        </w:rPr>
        <w:t>3</w:t>
      </w:r>
      <w:r w:rsidRPr="00C02600">
        <w:rPr>
          <w:sz w:val="20"/>
        </w:rPr>
        <w:t>, och erlägga betalning för de nya konvertiblerna genom kvittning av fordringar på bolaget enligt konvertibler i konvertibelprogram K2</w:t>
      </w:r>
      <w:r w:rsidR="00F639D3">
        <w:rPr>
          <w:sz w:val="20"/>
        </w:rPr>
        <w:t>1</w:t>
      </w:r>
      <w:r w:rsidRPr="00C02600">
        <w:rPr>
          <w:sz w:val="20"/>
        </w:rPr>
        <w:t>. Styrelsens bedömning är att det är mer fördelaktigt för bolaget att emittera nya konvertibler än att erlägga kontant återbetalning enligt konvertibelprogram K2</w:t>
      </w:r>
      <w:r w:rsidR="00F639D3">
        <w:rPr>
          <w:sz w:val="20"/>
        </w:rPr>
        <w:t>1</w:t>
      </w:r>
      <w:r w:rsidRPr="00C02600">
        <w:rPr>
          <w:sz w:val="20"/>
        </w:rPr>
        <w:t>.</w:t>
      </w:r>
    </w:p>
    <w:p w14:paraId="2FE14BF7" w14:textId="77777777" w:rsidR="0032250E" w:rsidRPr="0040165D" w:rsidRDefault="0032250E" w:rsidP="00327460">
      <w:pPr>
        <w:spacing w:before="0" w:after="0" w:line="240" w:lineRule="auto"/>
        <w:jc w:val="left"/>
        <w:rPr>
          <w:rFonts w:cs="Arial"/>
          <w:sz w:val="20"/>
        </w:rPr>
      </w:pPr>
    </w:p>
    <w:p w14:paraId="712BFD19" w14:textId="77777777" w:rsidR="0032250E" w:rsidRPr="008F5B5E" w:rsidRDefault="0032250E" w:rsidP="00327460">
      <w:pPr>
        <w:spacing w:before="0" w:after="0" w:line="240" w:lineRule="auto"/>
        <w:jc w:val="left"/>
        <w:rPr>
          <w:rFonts w:cs="Arial"/>
          <w:b/>
          <w:sz w:val="20"/>
        </w:rPr>
      </w:pPr>
      <w:r w:rsidRPr="008F5B5E">
        <w:rPr>
          <w:rFonts w:cs="Arial"/>
          <w:b/>
          <w:sz w:val="20"/>
        </w:rPr>
        <w:t>Styrelsens förslag</w:t>
      </w:r>
    </w:p>
    <w:p w14:paraId="3F999507" w14:textId="77777777" w:rsidR="0032250E" w:rsidRPr="0040165D" w:rsidRDefault="0032250E" w:rsidP="00327460">
      <w:pPr>
        <w:spacing w:before="0" w:after="0" w:line="240" w:lineRule="auto"/>
        <w:jc w:val="left"/>
        <w:rPr>
          <w:rFonts w:cs="Arial"/>
          <w:sz w:val="20"/>
        </w:rPr>
      </w:pPr>
    </w:p>
    <w:p w14:paraId="01F70B95" w14:textId="77777777" w:rsidR="0032250E" w:rsidRPr="0040165D" w:rsidRDefault="0032250E" w:rsidP="00327460">
      <w:pPr>
        <w:spacing w:before="0" w:after="0" w:line="240" w:lineRule="auto"/>
        <w:jc w:val="left"/>
        <w:rPr>
          <w:rFonts w:cs="Arial"/>
          <w:sz w:val="20"/>
        </w:rPr>
      </w:pPr>
      <w:r w:rsidRPr="0040165D">
        <w:rPr>
          <w:rFonts w:cs="Arial"/>
          <w:sz w:val="20"/>
        </w:rPr>
        <w:t>Mot bakgrund av ovan föreslår styrelsen att stämman beslutar om emission av konvertibler enligt följande.</w:t>
      </w:r>
    </w:p>
    <w:p w14:paraId="7D840507" w14:textId="77777777" w:rsidR="0032250E" w:rsidRPr="0040165D" w:rsidRDefault="0032250E" w:rsidP="00327460">
      <w:pPr>
        <w:spacing w:before="0" w:after="0" w:line="240" w:lineRule="auto"/>
        <w:jc w:val="left"/>
        <w:rPr>
          <w:rFonts w:cs="Arial"/>
          <w:sz w:val="20"/>
        </w:rPr>
      </w:pPr>
    </w:p>
    <w:p w14:paraId="4CC1DCB3" w14:textId="77777777" w:rsidR="00296F1C" w:rsidRPr="0040165D" w:rsidRDefault="00296F1C" w:rsidP="00327460">
      <w:pPr>
        <w:numPr>
          <w:ilvl w:val="0"/>
          <w:numId w:val="41"/>
        </w:numPr>
        <w:jc w:val="left"/>
        <w:rPr>
          <w:sz w:val="20"/>
        </w:rPr>
      </w:pPr>
      <w:r w:rsidRPr="0040165D">
        <w:rPr>
          <w:sz w:val="20"/>
        </w:rPr>
        <w:t xml:space="preserve">Bolaget ska uppta ett konvertibelt lån om högst </w:t>
      </w:r>
      <w:r w:rsidR="004C4EEE" w:rsidRPr="004C4EEE">
        <w:rPr>
          <w:sz w:val="20"/>
        </w:rPr>
        <w:t>2 050</w:t>
      </w:r>
      <w:r w:rsidR="004C4EEE">
        <w:rPr>
          <w:sz w:val="20"/>
        </w:rPr>
        <w:t> </w:t>
      </w:r>
      <w:r w:rsidR="004C4EEE" w:rsidRPr="004C4EEE">
        <w:rPr>
          <w:sz w:val="20"/>
        </w:rPr>
        <w:t xml:space="preserve">000 </w:t>
      </w:r>
      <w:r w:rsidRPr="0040165D">
        <w:rPr>
          <w:sz w:val="20"/>
        </w:rPr>
        <w:t>kronor genom emission av konvertibler med avvikelse från aktieägarnas företrädesrätt.</w:t>
      </w:r>
    </w:p>
    <w:p w14:paraId="443C92DF" w14:textId="3172990F" w:rsidR="00296F1C" w:rsidRPr="0040165D" w:rsidRDefault="00296F1C" w:rsidP="00327460">
      <w:pPr>
        <w:numPr>
          <w:ilvl w:val="0"/>
          <w:numId w:val="41"/>
        </w:numPr>
        <w:jc w:val="left"/>
        <w:rPr>
          <w:sz w:val="20"/>
        </w:rPr>
      </w:pPr>
      <w:r w:rsidRPr="0040165D">
        <w:rPr>
          <w:sz w:val="20"/>
        </w:rPr>
        <w:t xml:space="preserve">Lånet ska representeras av </w:t>
      </w:r>
      <w:r w:rsidRPr="00D47DD5">
        <w:rPr>
          <w:sz w:val="20"/>
        </w:rPr>
        <w:t xml:space="preserve">högst </w:t>
      </w:r>
      <w:r w:rsidR="004C4EEE" w:rsidRPr="00D47DD5">
        <w:rPr>
          <w:sz w:val="20"/>
        </w:rPr>
        <w:t>20 500</w:t>
      </w:r>
      <w:r w:rsidRPr="0040165D">
        <w:rPr>
          <w:sz w:val="20"/>
        </w:rPr>
        <w:t xml:space="preserve"> konvertibler om nominellt 100 kronor vardera som ska kunna konverteras till aktier av serie B i bolaget.</w:t>
      </w:r>
    </w:p>
    <w:p w14:paraId="62DB58AA" w14:textId="77AB0431" w:rsidR="00296F1C" w:rsidRPr="0040165D" w:rsidRDefault="00296F1C" w:rsidP="00327460">
      <w:pPr>
        <w:numPr>
          <w:ilvl w:val="0"/>
          <w:numId w:val="41"/>
        </w:numPr>
        <w:jc w:val="left"/>
        <w:rPr>
          <w:sz w:val="20"/>
        </w:rPr>
      </w:pPr>
      <w:r w:rsidRPr="0040165D">
        <w:rPr>
          <w:sz w:val="20"/>
        </w:rPr>
        <w:t xml:space="preserve">Konvertiblerna ska medföra rätt till konvertering till aktier av serie B i bolaget med ett kvotvärde om 1 krona, till en konverteringskurs </w:t>
      </w:r>
      <w:r w:rsidRPr="00907082">
        <w:rPr>
          <w:sz w:val="20"/>
        </w:rPr>
        <w:t xml:space="preserve">motsvarande 110 procent av den volymviktade kursen i bolagets aktie på Nasdaq </w:t>
      </w:r>
      <w:proofErr w:type="spellStart"/>
      <w:r w:rsidRPr="00907082">
        <w:rPr>
          <w:sz w:val="20"/>
        </w:rPr>
        <w:t>First</w:t>
      </w:r>
      <w:proofErr w:type="spellEnd"/>
      <w:r w:rsidRPr="00907082">
        <w:rPr>
          <w:sz w:val="20"/>
        </w:rPr>
        <w:t xml:space="preserve"> North </w:t>
      </w:r>
      <w:proofErr w:type="spellStart"/>
      <w:r w:rsidRPr="00907082">
        <w:rPr>
          <w:sz w:val="20"/>
        </w:rPr>
        <w:t>Growth</w:t>
      </w:r>
      <w:proofErr w:type="spellEnd"/>
      <w:r w:rsidRPr="00907082">
        <w:rPr>
          <w:sz w:val="20"/>
        </w:rPr>
        <w:t xml:space="preserve"> Market </w:t>
      </w:r>
      <w:r w:rsidR="00937313" w:rsidRPr="00907082">
        <w:rPr>
          <w:sz w:val="20"/>
        </w:rPr>
        <w:t>1</w:t>
      </w:r>
      <w:r w:rsidR="000E58F1" w:rsidRPr="00907082">
        <w:rPr>
          <w:sz w:val="20"/>
        </w:rPr>
        <w:t>6</w:t>
      </w:r>
      <w:r w:rsidR="00937313" w:rsidRPr="00907082">
        <w:rPr>
          <w:sz w:val="20"/>
        </w:rPr>
        <w:t>-2</w:t>
      </w:r>
      <w:r w:rsidR="000E58F1" w:rsidRPr="00907082">
        <w:rPr>
          <w:sz w:val="20"/>
        </w:rPr>
        <w:t>7</w:t>
      </w:r>
      <w:r w:rsidR="00937313" w:rsidRPr="00907082">
        <w:rPr>
          <w:sz w:val="20"/>
        </w:rPr>
        <w:t xml:space="preserve"> november 2020</w:t>
      </w:r>
      <w:r w:rsidR="00907082" w:rsidRPr="00907082">
        <w:rPr>
          <w:sz w:val="20"/>
        </w:rPr>
        <w:t>.</w:t>
      </w:r>
      <w:r w:rsidRPr="00907082">
        <w:rPr>
          <w:sz w:val="20"/>
        </w:rPr>
        <w:t xml:space="preserve"> Den framräknade konverteringskursen ska avrund</w:t>
      </w:r>
      <w:r w:rsidRPr="0040165D">
        <w:rPr>
          <w:sz w:val="20"/>
        </w:rPr>
        <w:t xml:space="preserve">as till närmast hela öre, varvid ett halvt öre avrundas nedåt. Konverteringskursen får inte fastställas till ett lägre belopp än 5 kronor. Bolagets aktiekapital kan genom konvertering ökas med högst </w:t>
      </w:r>
      <w:r w:rsidR="004C4EEE" w:rsidRPr="00881A1A">
        <w:rPr>
          <w:sz w:val="20"/>
        </w:rPr>
        <w:t>410 000</w:t>
      </w:r>
      <w:r w:rsidRPr="0040165D">
        <w:rPr>
          <w:sz w:val="20"/>
        </w:rPr>
        <w:t xml:space="preserve"> kronor.</w:t>
      </w:r>
    </w:p>
    <w:p w14:paraId="13E561EE" w14:textId="22BEC385" w:rsidR="00296F1C" w:rsidRPr="0040165D" w:rsidRDefault="00296F1C" w:rsidP="00327460">
      <w:pPr>
        <w:numPr>
          <w:ilvl w:val="0"/>
          <w:numId w:val="41"/>
        </w:numPr>
        <w:jc w:val="left"/>
        <w:rPr>
          <w:sz w:val="20"/>
        </w:rPr>
      </w:pPr>
      <w:proofErr w:type="spellStart"/>
      <w:r w:rsidRPr="0040165D">
        <w:rPr>
          <w:sz w:val="20"/>
        </w:rPr>
        <w:t>BDO</w:t>
      </w:r>
      <w:proofErr w:type="spellEnd"/>
      <w:r w:rsidRPr="0040165D">
        <w:rPr>
          <w:sz w:val="20"/>
        </w:rPr>
        <w:t xml:space="preserve"> har utfört en preliminär värdering av konvertiblerna per den </w:t>
      </w:r>
      <w:r w:rsidR="004C4EEE">
        <w:rPr>
          <w:sz w:val="20"/>
        </w:rPr>
        <w:t>2</w:t>
      </w:r>
      <w:r w:rsidR="00937313">
        <w:rPr>
          <w:sz w:val="20"/>
        </w:rPr>
        <w:t>3</w:t>
      </w:r>
      <w:r w:rsidRPr="0040165D">
        <w:rPr>
          <w:sz w:val="20"/>
        </w:rPr>
        <w:t xml:space="preserve"> </w:t>
      </w:r>
      <w:r w:rsidR="004C4EEE">
        <w:rPr>
          <w:sz w:val="20"/>
        </w:rPr>
        <w:t xml:space="preserve">oktober </w:t>
      </w:r>
      <w:r w:rsidRPr="0040165D">
        <w:rPr>
          <w:sz w:val="20"/>
        </w:rPr>
        <w:t>2020 baserat på beräkning enligt Black &amp; Scholes optionsvärderingsmodell. Den preliminära värderingen har gjorts utifrån en antagen aktiekurs om</w:t>
      </w:r>
      <w:r w:rsidR="00C8237A">
        <w:rPr>
          <w:sz w:val="20"/>
        </w:rPr>
        <w:t xml:space="preserve"> 7,08</w:t>
      </w:r>
      <w:r w:rsidRPr="0040165D">
        <w:rPr>
          <w:sz w:val="20"/>
        </w:rPr>
        <w:t xml:space="preserve"> kronor, en antagen konverteringskurs om 110 </w:t>
      </w:r>
      <w:r w:rsidR="004C4EEE">
        <w:rPr>
          <w:sz w:val="20"/>
        </w:rPr>
        <w:t>procent</w:t>
      </w:r>
      <w:r w:rsidRPr="0040165D">
        <w:rPr>
          <w:sz w:val="20"/>
        </w:rPr>
        <w:t xml:space="preserve"> av värdet på aktien</w:t>
      </w:r>
      <w:r w:rsidR="005B67B2">
        <w:rPr>
          <w:sz w:val="20"/>
        </w:rPr>
        <w:t xml:space="preserve"> (7,78 kronor)</w:t>
      </w:r>
      <w:r w:rsidRPr="0040165D">
        <w:rPr>
          <w:sz w:val="20"/>
        </w:rPr>
        <w:t>, samt en antagen volatilitet om 20 procent, varvid värde</w:t>
      </w:r>
      <w:r w:rsidR="006077CC">
        <w:rPr>
          <w:sz w:val="20"/>
        </w:rPr>
        <w:t>t av konvertiblerna</w:t>
      </w:r>
      <w:r w:rsidRPr="0040165D">
        <w:rPr>
          <w:sz w:val="20"/>
        </w:rPr>
        <w:t xml:space="preserve"> preliminärt har fastställts till </w:t>
      </w:r>
      <w:r w:rsidR="00C8237A">
        <w:rPr>
          <w:sz w:val="20"/>
        </w:rPr>
        <w:t>2 014 921</w:t>
      </w:r>
      <w:r w:rsidRPr="0040165D">
        <w:rPr>
          <w:sz w:val="20"/>
        </w:rPr>
        <w:t xml:space="preserve"> kronor</w:t>
      </w:r>
      <w:r w:rsidR="00307605">
        <w:rPr>
          <w:sz w:val="20"/>
        </w:rPr>
        <w:t xml:space="preserve"> (med beaktande av</w:t>
      </w:r>
      <w:r w:rsidR="00307605" w:rsidRPr="0040165D">
        <w:rPr>
          <w:sz w:val="20"/>
        </w:rPr>
        <w:t xml:space="preserve"> </w:t>
      </w:r>
      <w:r w:rsidR="00307605">
        <w:rPr>
          <w:sz w:val="20"/>
        </w:rPr>
        <w:t xml:space="preserve">den </w:t>
      </w:r>
      <w:r w:rsidR="00307605" w:rsidRPr="0040165D">
        <w:rPr>
          <w:sz w:val="20"/>
        </w:rPr>
        <w:t xml:space="preserve">räntenedsättning </w:t>
      </w:r>
      <w:r w:rsidR="00307605">
        <w:rPr>
          <w:sz w:val="20"/>
        </w:rPr>
        <w:t xml:space="preserve">som sker </w:t>
      </w:r>
      <w:r w:rsidR="00307605" w:rsidRPr="0040165D">
        <w:rPr>
          <w:sz w:val="20"/>
        </w:rPr>
        <w:t>under konvertiblernas löptid</w:t>
      </w:r>
      <w:r w:rsidR="00307605">
        <w:rPr>
          <w:sz w:val="20"/>
        </w:rPr>
        <w:t>)</w:t>
      </w:r>
      <w:r w:rsidRPr="0040165D">
        <w:rPr>
          <w:sz w:val="20"/>
        </w:rPr>
        <w:t>. En slutlig värdering kommer att göras i samband med teckning av konvertiblerna.</w:t>
      </w:r>
    </w:p>
    <w:p w14:paraId="61EA97B7" w14:textId="77777777" w:rsidR="00296F1C" w:rsidRPr="0040165D" w:rsidRDefault="00296F1C" w:rsidP="00327460">
      <w:pPr>
        <w:numPr>
          <w:ilvl w:val="0"/>
          <w:numId w:val="41"/>
        </w:numPr>
        <w:jc w:val="left"/>
        <w:rPr>
          <w:sz w:val="20"/>
        </w:rPr>
      </w:pPr>
      <w:r w:rsidRPr="0040165D">
        <w:rPr>
          <w:sz w:val="20"/>
        </w:rPr>
        <w:t xml:space="preserve">Konvertiblerna ska löpa med en årlig ränta om </w:t>
      </w:r>
      <w:r w:rsidR="004C4EEE">
        <w:rPr>
          <w:sz w:val="20"/>
        </w:rPr>
        <w:t>4</w:t>
      </w:r>
      <w:r w:rsidRPr="0040165D">
        <w:rPr>
          <w:sz w:val="20"/>
        </w:rPr>
        <w:t xml:space="preserve"> procent. Räntan ska utgå från och med betalningsdagen för konvertibellånet. Räntan ska betalas kvartalsvis i efterskott den 31 mars, 30 juni, 30 september respektive 31 december. Upplupen ränta berättigar inte till konvertering.</w:t>
      </w:r>
    </w:p>
    <w:p w14:paraId="7FCB206B" w14:textId="77777777" w:rsidR="00296F1C" w:rsidRPr="0040165D" w:rsidRDefault="00296F1C" w:rsidP="00327460">
      <w:pPr>
        <w:numPr>
          <w:ilvl w:val="0"/>
          <w:numId w:val="41"/>
        </w:numPr>
        <w:jc w:val="left"/>
        <w:rPr>
          <w:sz w:val="20"/>
        </w:rPr>
      </w:pPr>
      <w:r w:rsidRPr="0040165D">
        <w:rPr>
          <w:sz w:val="20"/>
        </w:rPr>
        <w:t>Rätt att teckna konvertiblerna ska, med avvikelse från aktieägarnas företrädesrätt, tillkomma konvertibelinnehavare i bolagets konvertibelprogram K2</w:t>
      </w:r>
      <w:r w:rsidR="004C4EEE">
        <w:rPr>
          <w:sz w:val="20"/>
        </w:rPr>
        <w:t>1</w:t>
      </w:r>
      <w:r w:rsidR="00D1258E" w:rsidRPr="0040165D">
        <w:rPr>
          <w:sz w:val="20"/>
        </w:rPr>
        <w:t xml:space="preserve">, i enlighet med </w:t>
      </w:r>
      <w:r w:rsidR="00D1258E" w:rsidRPr="0040165D">
        <w:rPr>
          <w:sz w:val="20"/>
          <w:u w:val="single"/>
        </w:rPr>
        <w:t>Bilaga A</w:t>
      </w:r>
      <w:r w:rsidR="00D1258E" w:rsidRPr="0040165D">
        <w:rPr>
          <w:sz w:val="20"/>
        </w:rPr>
        <w:t>.</w:t>
      </w:r>
      <w:r w:rsidRPr="0040165D">
        <w:rPr>
          <w:sz w:val="20"/>
        </w:rPr>
        <w:t xml:space="preserve"> Skälet till avvikelsen från aktieägarnas företrädesrätt är att styrelsen bedömer att det är mer fördelaktigt för bolaget att emittera nya konvertibler än att erlägga kontant återbetalning enligt konvertibelprogram K2</w:t>
      </w:r>
      <w:r w:rsidR="004C4EEE">
        <w:rPr>
          <w:sz w:val="20"/>
        </w:rPr>
        <w:t>1</w:t>
      </w:r>
      <w:r w:rsidRPr="0040165D">
        <w:rPr>
          <w:sz w:val="20"/>
        </w:rPr>
        <w:t>.</w:t>
      </w:r>
    </w:p>
    <w:p w14:paraId="2EA79A04" w14:textId="77777777" w:rsidR="00296F1C" w:rsidRPr="0040165D" w:rsidRDefault="00296F1C" w:rsidP="00327460">
      <w:pPr>
        <w:numPr>
          <w:ilvl w:val="0"/>
          <w:numId w:val="41"/>
        </w:numPr>
        <w:jc w:val="left"/>
        <w:rPr>
          <w:sz w:val="20"/>
        </w:rPr>
      </w:pPr>
      <w:r w:rsidRPr="0040165D">
        <w:rPr>
          <w:sz w:val="20"/>
        </w:rPr>
        <w:lastRenderedPageBreak/>
        <w:t>Teckningskursen för en konvertibel ska vara 100 kronor vilket motsvarar konvertibelns nominella belopp, och utgör enligt styrelsens bedömning konvertibelns marknadsvärde.</w:t>
      </w:r>
    </w:p>
    <w:p w14:paraId="6ECC49B7" w14:textId="10C175B9" w:rsidR="00296F1C" w:rsidRPr="0040165D" w:rsidRDefault="00296F1C" w:rsidP="00327460">
      <w:pPr>
        <w:numPr>
          <w:ilvl w:val="0"/>
          <w:numId w:val="41"/>
        </w:numPr>
        <w:jc w:val="left"/>
        <w:rPr>
          <w:sz w:val="20"/>
        </w:rPr>
      </w:pPr>
      <w:r w:rsidRPr="0040165D">
        <w:rPr>
          <w:sz w:val="20"/>
        </w:rPr>
        <w:t xml:space="preserve">Teckning och betalning ska ske senast </w:t>
      </w:r>
      <w:r w:rsidRPr="00907082">
        <w:rPr>
          <w:sz w:val="20"/>
        </w:rPr>
        <w:t xml:space="preserve">den </w:t>
      </w:r>
      <w:r w:rsidR="003C0F5E">
        <w:rPr>
          <w:sz w:val="20"/>
        </w:rPr>
        <w:t>11</w:t>
      </w:r>
      <w:r w:rsidR="00937313" w:rsidRPr="00907082">
        <w:rPr>
          <w:sz w:val="20"/>
        </w:rPr>
        <w:t xml:space="preserve"> december 2020</w:t>
      </w:r>
      <w:r w:rsidRPr="00907082">
        <w:rPr>
          <w:sz w:val="20"/>
        </w:rPr>
        <w:t>.</w:t>
      </w:r>
      <w:r w:rsidRPr="0040165D">
        <w:rPr>
          <w:sz w:val="20"/>
        </w:rPr>
        <w:t xml:space="preserve"> Betalning ska erläggas genom kvittning av fordran på bolaget enligt konvertibelprogram K2</w:t>
      </w:r>
      <w:r w:rsidR="0039668C">
        <w:rPr>
          <w:sz w:val="20"/>
        </w:rPr>
        <w:t>1</w:t>
      </w:r>
      <w:r w:rsidRPr="0040165D">
        <w:rPr>
          <w:sz w:val="20"/>
        </w:rPr>
        <w:t>, genom undertecknande av teckningslista. Styrelsen ska ha rätt att förlänga tecknings- och betalningstiden.</w:t>
      </w:r>
    </w:p>
    <w:p w14:paraId="2E34EF83" w14:textId="0DCF5752" w:rsidR="00296F1C" w:rsidRPr="0040165D" w:rsidRDefault="00296F1C" w:rsidP="00327460">
      <w:pPr>
        <w:numPr>
          <w:ilvl w:val="0"/>
          <w:numId w:val="41"/>
        </w:numPr>
        <w:jc w:val="left"/>
        <w:rPr>
          <w:sz w:val="20"/>
        </w:rPr>
      </w:pPr>
      <w:r w:rsidRPr="0040165D">
        <w:rPr>
          <w:sz w:val="20"/>
        </w:rPr>
        <w:t>Påkallande av konvertering kan äga rum under en tidsperiod om två månader från och med dagen efter att bolaget har offentliggjort respektive kvartalsrapport samt bokslutskommuniké, under perioden från och med dagen för registrering hos Bolagsverket till och me</w:t>
      </w:r>
      <w:r w:rsidRPr="00A83116">
        <w:rPr>
          <w:sz w:val="20"/>
        </w:rPr>
        <w:t xml:space="preserve">d den 15 </w:t>
      </w:r>
      <w:r w:rsidR="00120D90" w:rsidRPr="00A83116">
        <w:rPr>
          <w:sz w:val="20"/>
        </w:rPr>
        <w:t>november</w:t>
      </w:r>
      <w:r w:rsidRPr="00A83116">
        <w:rPr>
          <w:sz w:val="20"/>
        </w:rPr>
        <w:t xml:space="preserve"> 202</w:t>
      </w:r>
      <w:r w:rsidR="00120D90" w:rsidRPr="00A83116">
        <w:rPr>
          <w:sz w:val="20"/>
        </w:rPr>
        <w:t>3</w:t>
      </w:r>
      <w:r w:rsidRPr="00A83116">
        <w:rPr>
          <w:sz w:val="20"/>
        </w:rPr>
        <w:t xml:space="preserve">. För det fall bolaget inte har offentliggjort någon kvartalsrapport eller bokslutskommuniké ska konvertibelinnehavaren dock ha rätt att påkalla konvertering mellan den 16 </w:t>
      </w:r>
      <w:r w:rsidR="00120D90" w:rsidRPr="00A83116">
        <w:rPr>
          <w:sz w:val="20"/>
        </w:rPr>
        <w:t xml:space="preserve">november </w:t>
      </w:r>
      <w:r w:rsidRPr="00A83116">
        <w:rPr>
          <w:sz w:val="20"/>
        </w:rPr>
        <w:t>202</w:t>
      </w:r>
      <w:r w:rsidR="00120D90" w:rsidRPr="00A83116">
        <w:rPr>
          <w:sz w:val="20"/>
        </w:rPr>
        <w:t>3</w:t>
      </w:r>
      <w:r w:rsidRPr="00A83116">
        <w:rPr>
          <w:sz w:val="20"/>
        </w:rPr>
        <w:t xml:space="preserve"> och den 23 </w:t>
      </w:r>
      <w:r w:rsidR="00120D90" w:rsidRPr="00A83116">
        <w:rPr>
          <w:sz w:val="20"/>
        </w:rPr>
        <w:t xml:space="preserve">november </w:t>
      </w:r>
      <w:r w:rsidRPr="00A83116">
        <w:rPr>
          <w:sz w:val="20"/>
        </w:rPr>
        <w:t>202</w:t>
      </w:r>
      <w:r w:rsidR="00120D90" w:rsidRPr="00A83116">
        <w:rPr>
          <w:sz w:val="20"/>
        </w:rPr>
        <w:t>3</w:t>
      </w:r>
      <w:r w:rsidRPr="00A83116">
        <w:rPr>
          <w:sz w:val="20"/>
        </w:rPr>
        <w:t xml:space="preserve">. Lånet ska förfalla till betalning den 30 </w:t>
      </w:r>
      <w:r w:rsidR="00120D90" w:rsidRPr="00A83116">
        <w:rPr>
          <w:sz w:val="20"/>
        </w:rPr>
        <w:t xml:space="preserve">november </w:t>
      </w:r>
      <w:r w:rsidRPr="00A83116">
        <w:rPr>
          <w:sz w:val="20"/>
        </w:rPr>
        <w:t>202</w:t>
      </w:r>
      <w:r w:rsidR="00120D90" w:rsidRPr="00A83116">
        <w:rPr>
          <w:sz w:val="20"/>
        </w:rPr>
        <w:t>3</w:t>
      </w:r>
      <w:r w:rsidRPr="00A83116">
        <w:rPr>
          <w:sz w:val="20"/>
        </w:rPr>
        <w:t>, i den mån konvertering inte har ägt rum under konverteringsperioden.</w:t>
      </w:r>
    </w:p>
    <w:p w14:paraId="3FD53C26" w14:textId="77777777" w:rsidR="00296F1C" w:rsidRPr="0040165D" w:rsidRDefault="00296F1C" w:rsidP="00327460">
      <w:pPr>
        <w:numPr>
          <w:ilvl w:val="0"/>
          <w:numId w:val="41"/>
        </w:numPr>
        <w:jc w:val="left"/>
        <w:rPr>
          <w:sz w:val="20"/>
        </w:rPr>
      </w:pPr>
      <w:r w:rsidRPr="0040165D">
        <w:rPr>
          <w:sz w:val="20"/>
        </w:rPr>
        <w:t xml:space="preserve">Aktie som tillkommit på grund av konvertering ska medföra rätt till vinstutdelning första gången på den avstämningsdag för utdelning som infaller närmast efter det att konvertering har verkställts. </w:t>
      </w:r>
      <w:bookmarkStart w:id="0" w:name="_GoBack"/>
      <w:bookmarkEnd w:id="0"/>
    </w:p>
    <w:p w14:paraId="7271432F" w14:textId="77777777" w:rsidR="00296F1C" w:rsidRPr="0040165D" w:rsidRDefault="00296F1C" w:rsidP="00327460">
      <w:pPr>
        <w:numPr>
          <w:ilvl w:val="0"/>
          <w:numId w:val="41"/>
        </w:numPr>
        <w:jc w:val="left"/>
        <w:rPr>
          <w:sz w:val="20"/>
        </w:rPr>
      </w:pPr>
      <w:r w:rsidRPr="0040165D">
        <w:rPr>
          <w:sz w:val="20"/>
        </w:rPr>
        <w:t>Överteckning kan ej ske.</w:t>
      </w:r>
    </w:p>
    <w:p w14:paraId="7E2B69EA" w14:textId="78811F4E" w:rsidR="00296F1C" w:rsidRPr="0040165D" w:rsidRDefault="00296F1C" w:rsidP="00327460">
      <w:pPr>
        <w:numPr>
          <w:ilvl w:val="0"/>
          <w:numId w:val="41"/>
        </w:numPr>
        <w:jc w:val="left"/>
        <w:rPr>
          <w:sz w:val="20"/>
        </w:rPr>
      </w:pPr>
      <w:r w:rsidRPr="0040165D">
        <w:rPr>
          <w:sz w:val="20"/>
        </w:rPr>
        <w:t xml:space="preserve">Vid full konvertering och vid en konverteringskurs om </w:t>
      </w:r>
      <w:r w:rsidR="00665E5C" w:rsidRPr="00907082">
        <w:rPr>
          <w:sz w:val="20"/>
        </w:rPr>
        <w:t>7,78</w:t>
      </w:r>
      <w:r w:rsidRPr="0040165D">
        <w:rPr>
          <w:sz w:val="20"/>
        </w:rPr>
        <w:t xml:space="preserve"> kronor per aktie av serie B kommer det registrerade aktiekapitalet att öka med </w:t>
      </w:r>
      <w:r w:rsidR="009B792C" w:rsidRPr="009B792C">
        <w:rPr>
          <w:sz w:val="20"/>
        </w:rPr>
        <w:t>263</w:t>
      </w:r>
      <w:r w:rsidR="009B792C">
        <w:rPr>
          <w:sz w:val="20"/>
        </w:rPr>
        <w:t xml:space="preserve"> </w:t>
      </w:r>
      <w:r w:rsidR="009B792C" w:rsidRPr="009B792C">
        <w:rPr>
          <w:sz w:val="20"/>
        </w:rPr>
        <w:t>496</w:t>
      </w:r>
      <w:r w:rsidRPr="0040165D">
        <w:rPr>
          <w:sz w:val="20"/>
        </w:rPr>
        <w:t xml:space="preserve"> kronor motsvarande en utspädningseffekt om cirka </w:t>
      </w:r>
      <w:r w:rsidR="009B792C">
        <w:rPr>
          <w:sz w:val="20"/>
        </w:rPr>
        <w:t>1,27</w:t>
      </w:r>
      <w:r w:rsidRPr="0040165D">
        <w:rPr>
          <w:sz w:val="20"/>
        </w:rPr>
        <w:t xml:space="preserve"> procent av det totala antalet aktier och cirka </w:t>
      </w:r>
      <w:r w:rsidR="009B792C">
        <w:rPr>
          <w:sz w:val="20"/>
        </w:rPr>
        <w:t>1</w:t>
      </w:r>
      <w:r w:rsidRPr="0040165D">
        <w:rPr>
          <w:sz w:val="20"/>
        </w:rPr>
        <w:t xml:space="preserve"> procent av det totala antalet röster i bolaget, beräknat efter registrering av de nya aktierna. Vid teckning av samtliga konvertibler upptar bolaget konvertibla lån om </w:t>
      </w:r>
      <w:r w:rsidR="0039668C">
        <w:rPr>
          <w:sz w:val="20"/>
        </w:rPr>
        <w:t xml:space="preserve">2 050 </w:t>
      </w:r>
      <w:r w:rsidRPr="0040165D">
        <w:rPr>
          <w:sz w:val="20"/>
        </w:rPr>
        <w:t>000 kronor.</w:t>
      </w:r>
    </w:p>
    <w:p w14:paraId="628B4259" w14:textId="77777777" w:rsidR="00ED069A" w:rsidRPr="0040165D" w:rsidRDefault="00ED069A" w:rsidP="00327460">
      <w:pPr>
        <w:numPr>
          <w:ilvl w:val="0"/>
          <w:numId w:val="41"/>
        </w:numPr>
        <w:jc w:val="left"/>
        <w:rPr>
          <w:sz w:val="20"/>
        </w:rPr>
      </w:pPr>
      <w:r w:rsidRPr="0040165D">
        <w:rPr>
          <w:sz w:val="20"/>
        </w:rPr>
        <w:t xml:space="preserve">Fullständiga villkor för konvertiblerna framgår av </w:t>
      </w:r>
      <w:r w:rsidRPr="0040165D">
        <w:rPr>
          <w:sz w:val="20"/>
          <w:u w:val="single"/>
        </w:rPr>
        <w:t>Bilaga B</w:t>
      </w:r>
      <w:r w:rsidRPr="0040165D">
        <w:rPr>
          <w:sz w:val="20"/>
        </w:rPr>
        <w:t>.</w:t>
      </w:r>
    </w:p>
    <w:p w14:paraId="137D326B" w14:textId="77777777" w:rsidR="00296F1C" w:rsidRPr="0040165D" w:rsidRDefault="00296F1C" w:rsidP="00327460">
      <w:pPr>
        <w:numPr>
          <w:ilvl w:val="0"/>
          <w:numId w:val="41"/>
        </w:numPr>
        <w:jc w:val="left"/>
        <w:rPr>
          <w:sz w:val="20"/>
        </w:rPr>
      </w:pPr>
      <w:r w:rsidRPr="0040165D">
        <w:rPr>
          <w:sz w:val="20"/>
        </w:rPr>
        <w:t>Stämmans beslut förutsätter och är villkorat av att de konvertibelinnehavare i konvertibelprogram K2</w:t>
      </w:r>
      <w:r w:rsidR="0039668C">
        <w:rPr>
          <w:sz w:val="20"/>
        </w:rPr>
        <w:t>1</w:t>
      </w:r>
      <w:r w:rsidRPr="0040165D">
        <w:rPr>
          <w:sz w:val="20"/>
        </w:rPr>
        <w:t xml:space="preserve"> som deltar i konvertibelprogram K2</w:t>
      </w:r>
      <w:r w:rsidR="0039668C">
        <w:rPr>
          <w:sz w:val="20"/>
        </w:rPr>
        <w:t>3</w:t>
      </w:r>
      <w:r w:rsidRPr="0040165D">
        <w:rPr>
          <w:sz w:val="20"/>
        </w:rPr>
        <w:t>, avstår från att påkalla konvertering av konvertibler i konvertibelprogram K2</w:t>
      </w:r>
      <w:r w:rsidR="0039668C">
        <w:rPr>
          <w:sz w:val="20"/>
        </w:rPr>
        <w:t>1</w:t>
      </w:r>
      <w:r w:rsidRPr="0040165D">
        <w:rPr>
          <w:sz w:val="20"/>
        </w:rPr>
        <w:t xml:space="preserve"> under konvertibelns löptid och att dessa konvertibelinnehavare erlägger betalning för konvertiblerna genom kvittning av fordringar enligt konvertibelprogram K2</w:t>
      </w:r>
      <w:r w:rsidR="0039668C">
        <w:rPr>
          <w:sz w:val="20"/>
        </w:rPr>
        <w:t>1</w:t>
      </w:r>
      <w:r w:rsidRPr="0040165D">
        <w:rPr>
          <w:sz w:val="20"/>
        </w:rPr>
        <w:t>.</w:t>
      </w:r>
    </w:p>
    <w:p w14:paraId="4503DD6E" w14:textId="77777777" w:rsidR="00296F1C" w:rsidRPr="0040165D" w:rsidRDefault="00296F1C" w:rsidP="00327460">
      <w:pPr>
        <w:jc w:val="left"/>
        <w:rPr>
          <w:sz w:val="20"/>
        </w:rPr>
      </w:pPr>
    </w:p>
    <w:p w14:paraId="4052A565" w14:textId="77777777" w:rsidR="00E061E7" w:rsidRDefault="00ED069A" w:rsidP="00327460">
      <w:pPr>
        <w:jc w:val="left"/>
        <w:rPr>
          <w:sz w:val="20"/>
        </w:rPr>
      </w:pPr>
      <w:r w:rsidRPr="0040165D">
        <w:rPr>
          <w:sz w:val="20"/>
        </w:rPr>
        <w:t xml:space="preserve">Styrelsen eller den styrelsen utser har rätt att, utan särskild överenskommelse, göra sådana ändringar i villkoren för konvertiblerna som är till uppenbar fördel för konvertibelinnehavaren. </w:t>
      </w:r>
    </w:p>
    <w:p w14:paraId="3D9FE4C4" w14:textId="77777777" w:rsidR="004A358E" w:rsidRPr="0040165D" w:rsidRDefault="004A358E" w:rsidP="00327460">
      <w:pPr>
        <w:jc w:val="left"/>
        <w:rPr>
          <w:sz w:val="20"/>
        </w:rPr>
      </w:pPr>
      <w:r w:rsidRPr="0040165D">
        <w:rPr>
          <w:sz w:val="20"/>
        </w:rPr>
        <w:t xml:space="preserve">Styrelsen eller den som styrelsen utser bemyndigas </w:t>
      </w:r>
      <w:r w:rsidR="00ED069A" w:rsidRPr="0040165D">
        <w:rPr>
          <w:sz w:val="20"/>
        </w:rPr>
        <w:t xml:space="preserve">vidare </w:t>
      </w:r>
      <w:r w:rsidRPr="0040165D">
        <w:rPr>
          <w:sz w:val="20"/>
        </w:rPr>
        <w:t>att vidta de smärre justeringar som krävs för beslutets registrering hos Bolagsverket, Euroclear Sweden AB eller på grund av andra formella krav.</w:t>
      </w:r>
    </w:p>
    <w:p w14:paraId="3A17FB36" w14:textId="77777777" w:rsidR="006C2CDD" w:rsidRPr="0040165D" w:rsidRDefault="006C2CDD" w:rsidP="00327460">
      <w:pPr>
        <w:jc w:val="left"/>
        <w:rPr>
          <w:sz w:val="20"/>
        </w:rPr>
      </w:pPr>
      <w:r w:rsidRPr="0040165D">
        <w:rPr>
          <w:sz w:val="20"/>
        </w:rPr>
        <w:t>För giltigt beslut enligt denna punkt ska förslaget biträdas av aktieägare representerande minst nio tiondelar av såväl de avgivna rösterna som de på stämman företrädda aktierna.</w:t>
      </w:r>
    </w:p>
    <w:p w14:paraId="450D0F73" w14:textId="77777777" w:rsidR="006C2CDD" w:rsidRPr="0040165D" w:rsidRDefault="006C2CDD" w:rsidP="00327460">
      <w:pPr>
        <w:jc w:val="left"/>
        <w:rPr>
          <w:sz w:val="20"/>
        </w:rPr>
      </w:pPr>
    </w:p>
    <w:p w14:paraId="21167789" w14:textId="77777777" w:rsidR="006C2CDD" w:rsidRPr="0040165D" w:rsidRDefault="006C2CDD" w:rsidP="00327460">
      <w:pPr>
        <w:jc w:val="center"/>
        <w:rPr>
          <w:sz w:val="20"/>
        </w:rPr>
      </w:pPr>
      <w:r w:rsidRPr="0040165D">
        <w:rPr>
          <w:sz w:val="20"/>
        </w:rPr>
        <w:t>__________</w:t>
      </w:r>
    </w:p>
    <w:p w14:paraId="75F4848E" w14:textId="77777777" w:rsidR="006C2CDD" w:rsidRPr="0040165D" w:rsidRDefault="006C2CDD" w:rsidP="00327460">
      <w:pPr>
        <w:spacing w:before="0" w:after="0" w:line="240" w:lineRule="auto"/>
        <w:jc w:val="center"/>
        <w:rPr>
          <w:sz w:val="20"/>
        </w:rPr>
      </w:pPr>
    </w:p>
    <w:p w14:paraId="408E27DC" w14:textId="7995ED20" w:rsidR="006C2CDD" w:rsidRPr="0071421A" w:rsidRDefault="006C2CDD" w:rsidP="00327460">
      <w:pPr>
        <w:spacing w:before="0" w:after="0" w:line="240" w:lineRule="auto"/>
        <w:jc w:val="center"/>
        <w:rPr>
          <w:sz w:val="20"/>
        </w:rPr>
      </w:pPr>
      <w:r w:rsidRPr="0040165D">
        <w:rPr>
          <w:sz w:val="20"/>
        </w:rPr>
        <w:t xml:space="preserve">Gävle i </w:t>
      </w:r>
      <w:r w:rsidR="00937313" w:rsidRPr="0071421A">
        <w:rPr>
          <w:sz w:val="20"/>
        </w:rPr>
        <w:t>oktober</w:t>
      </w:r>
      <w:r w:rsidRPr="0071421A">
        <w:rPr>
          <w:sz w:val="20"/>
        </w:rPr>
        <w:t xml:space="preserve"> 2020</w:t>
      </w:r>
    </w:p>
    <w:p w14:paraId="289BE888" w14:textId="77777777" w:rsidR="006C2CDD" w:rsidRPr="0040165D" w:rsidRDefault="006C2CDD" w:rsidP="00327460">
      <w:pPr>
        <w:spacing w:before="0" w:after="0" w:line="240" w:lineRule="auto"/>
        <w:jc w:val="center"/>
        <w:rPr>
          <w:b/>
          <w:sz w:val="20"/>
        </w:rPr>
      </w:pPr>
      <w:r w:rsidRPr="0071421A">
        <w:rPr>
          <w:b/>
          <w:sz w:val="20"/>
        </w:rPr>
        <w:t>Mackmyra</w:t>
      </w:r>
      <w:r w:rsidRPr="0040165D">
        <w:rPr>
          <w:b/>
          <w:sz w:val="20"/>
        </w:rPr>
        <w:t xml:space="preserve"> Svensk Whisky AB (publ)</w:t>
      </w:r>
    </w:p>
    <w:p w14:paraId="0034796F" w14:textId="77777777" w:rsidR="0032250E" w:rsidRPr="006C2CDD" w:rsidRDefault="006C2CDD" w:rsidP="00327460">
      <w:pPr>
        <w:spacing w:before="0" w:after="0" w:line="240" w:lineRule="auto"/>
        <w:jc w:val="center"/>
        <w:rPr>
          <w:i/>
          <w:sz w:val="20"/>
        </w:rPr>
      </w:pPr>
      <w:r w:rsidRPr="0040165D">
        <w:rPr>
          <w:i/>
          <w:sz w:val="20"/>
        </w:rPr>
        <w:t>Styrelsen</w:t>
      </w:r>
    </w:p>
    <w:sectPr w:rsidR="0032250E" w:rsidRPr="006C2CDD" w:rsidSect="00BC4B91">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C4CE" w14:textId="77777777" w:rsidR="0032250E" w:rsidRDefault="0032250E">
      <w:r>
        <w:separator/>
      </w:r>
    </w:p>
  </w:endnote>
  <w:endnote w:type="continuationSeparator" w:id="0">
    <w:p w14:paraId="7C062289" w14:textId="77777777" w:rsidR="0032250E" w:rsidRDefault="0032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B8009" w14:textId="77777777" w:rsidR="0032250E" w:rsidRDefault="0032250E">
      <w:r>
        <w:separator/>
      </w:r>
    </w:p>
  </w:footnote>
  <w:footnote w:type="continuationSeparator" w:id="0">
    <w:p w14:paraId="2B3645FD" w14:textId="77777777" w:rsidR="0032250E" w:rsidRDefault="0032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4665F"/>
    <w:multiLevelType w:val="multilevel"/>
    <w:tmpl w:val="330E0920"/>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64571FDE"/>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20"/>
  </w:num>
  <w:num w:numId="3">
    <w:abstractNumId w:val="28"/>
  </w:num>
  <w:num w:numId="4">
    <w:abstractNumId w:val="8"/>
  </w:num>
  <w:num w:numId="5">
    <w:abstractNumId w:val="3"/>
  </w:num>
  <w:num w:numId="6">
    <w:abstractNumId w:val="2"/>
  </w:num>
  <w:num w:numId="7">
    <w:abstractNumId w:val="1"/>
  </w:num>
  <w:num w:numId="8">
    <w:abstractNumId w:val="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25"/>
  </w:num>
  <w:num w:numId="18">
    <w:abstractNumId w:val="19"/>
  </w:num>
  <w:num w:numId="19">
    <w:abstractNumId w:val="19"/>
  </w:num>
  <w:num w:numId="20">
    <w:abstractNumId w:val="29"/>
  </w:num>
  <w:num w:numId="21">
    <w:abstractNumId w:val="13"/>
  </w:num>
  <w:num w:numId="22">
    <w:abstractNumId w:val="10"/>
  </w:num>
  <w:num w:numId="23">
    <w:abstractNumId w:val="14"/>
  </w:num>
  <w:num w:numId="24">
    <w:abstractNumId w:val="11"/>
  </w:num>
  <w:num w:numId="25">
    <w:abstractNumId w:val="21"/>
  </w:num>
  <w:num w:numId="26">
    <w:abstractNumId w:val="31"/>
  </w:num>
  <w:num w:numId="27">
    <w:abstractNumId w:val="27"/>
  </w:num>
  <w:num w:numId="28">
    <w:abstractNumId w:val="19"/>
  </w:num>
  <w:num w:numId="29">
    <w:abstractNumId w:val="19"/>
  </w:num>
  <w:num w:numId="30">
    <w:abstractNumId w:val="16"/>
  </w:num>
  <w:num w:numId="31">
    <w:abstractNumId w:val="15"/>
  </w:num>
  <w:num w:numId="32">
    <w:abstractNumId w:val="30"/>
  </w:num>
  <w:num w:numId="33">
    <w:abstractNumId w:val="19"/>
  </w:num>
  <w:num w:numId="34">
    <w:abstractNumId w:val="19"/>
  </w:num>
  <w:num w:numId="35">
    <w:abstractNumId w:val="12"/>
  </w:num>
  <w:num w:numId="36">
    <w:abstractNumId w:val="17"/>
  </w:num>
  <w:num w:numId="37">
    <w:abstractNumId w:val="23"/>
  </w:num>
  <w:num w:numId="38">
    <w:abstractNumId w:val="2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E"/>
    <w:rsid w:val="00014041"/>
    <w:rsid w:val="00014DA3"/>
    <w:rsid w:val="000455EE"/>
    <w:rsid w:val="000617DA"/>
    <w:rsid w:val="00080AC8"/>
    <w:rsid w:val="0008150D"/>
    <w:rsid w:val="000A223D"/>
    <w:rsid w:val="000E58F1"/>
    <w:rsid w:val="00120D90"/>
    <w:rsid w:val="00154998"/>
    <w:rsid w:val="00191389"/>
    <w:rsid w:val="001C57FF"/>
    <w:rsid w:val="001E0626"/>
    <w:rsid w:val="001F3B8E"/>
    <w:rsid w:val="001F7A87"/>
    <w:rsid w:val="00224B2F"/>
    <w:rsid w:val="00240197"/>
    <w:rsid w:val="002714F1"/>
    <w:rsid w:val="00296205"/>
    <w:rsid w:val="00296F1C"/>
    <w:rsid w:val="002C427B"/>
    <w:rsid w:val="002D0A73"/>
    <w:rsid w:val="002E6844"/>
    <w:rsid w:val="002F0F2C"/>
    <w:rsid w:val="00304B86"/>
    <w:rsid w:val="00307605"/>
    <w:rsid w:val="0032250E"/>
    <w:rsid w:val="00327460"/>
    <w:rsid w:val="0039668C"/>
    <w:rsid w:val="003C0F5E"/>
    <w:rsid w:val="003C7EAF"/>
    <w:rsid w:val="003F77CF"/>
    <w:rsid w:val="0040165D"/>
    <w:rsid w:val="004448D7"/>
    <w:rsid w:val="0045098B"/>
    <w:rsid w:val="004667E9"/>
    <w:rsid w:val="004A358E"/>
    <w:rsid w:val="004A67D4"/>
    <w:rsid w:val="004B0226"/>
    <w:rsid w:val="004B51C5"/>
    <w:rsid w:val="004C4EEE"/>
    <w:rsid w:val="004D56E2"/>
    <w:rsid w:val="004E3879"/>
    <w:rsid w:val="004E770A"/>
    <w:rsid w:val="005400DA"/>
    <w:rsid w:val="005A6ADB"/>
    <w:rsid w:val="005B67B2"/>
    <w:rsid w:val="006077CC"/>
    <w:rsid w:val="00630673"/>
    <w:rsid w:val="00665E5C"/>
    <w:rsid w:val="0068599A"/>
    <w:rsid w:val="00695471"/>
    <w:rsid w:val="006C2CDD"/>
    <w:rsid w:val="006D3605"/>
    <w:rsid w:val="0071421A"/>
    <w:rsid w:val="0076654F"/>
    <w:rsid w:val="00793B2F"/>
    <w:rsid w:val="00807C6E"/>
    <w:rsid w:val="00867542"/>
    <w:rsid w:val="00881A1A"/>
    <w:rsid w:val="008E0DEF"/>
    <w:rsid w:val="008F5B5E"/>
    <w:rsid w:val="008F7786"/>
    <w:rsid w:val="00907082"/>
    <w:rsid w:val="00917DA1"/>
    <w:rsid w:val="00935116"/>
    <w:rsid w:val="00937313"/>
    <w:rsid w:val="0096067F"/>
    <w:rsid w:val="009B792C"/>
    <w:rsid w:val="009E78D6"/>
    <w:rsid w:val="009F481A"/>
    <w:rsid w:val="00A06599"/>
    <w:rsid w:val="00A2532A"/>
    <w:rsid w:val="00A73E52"/>
    <w:rsid w:val="00A83116"/>
    <w:rsid w:val="00A95878"/>
    <w:rsid w:val="00AC52F7"/>
    <w:rsid w:val="00AC6252"/>
    <w:rsid w:val="00AE1A3A"/>
    <w:rsid w:val="00B07D2E"/>
    <w:rsid w:val="00B20C60"/>
    <w:rsid w:val="00B24A9A"/>
    <w:rsid w:val="00B37B0A"/>
    <w:rsid w:val="00B733F5"/>
    <w:rsid w:val="00B864B4"/>
    <w:rsid w:val="00BC4B91"/>
    <w:rsid w:val="00BC5D8E"/>
    <w:rsid w:val="00BD753F"/>
    <w:rsid w:val="00BE44C9"/>
    <w:rsid w:val="00C02600"/>
    <w:rsid w:val="00C43312"/>
    <w:rsid w:val="00C8237A"/>
    <w:rsid w:val="00CA3A7A"/>
    <w:rsid w:val="00CC755F"/>
    <w:rsid w:val="00CD2049"/>
    <w:rsid w:val="00CE252E"/>
    <w:rsid w:val="00D003E0"/>
    <w:rsid w:val="00D1258E"/>
    <w:rsid w:val="00D2266C"/>
    <w:rsid w:val="00D44057"/>
    <w:rsid w:val="00D47DD5"/>
    <w:rsid w:val="00D5191C"/>
    <w:rsid w:val="00D909AB"/>
    <w:rsid w:val="00D97E33"/>
    <w:rsid w:val="00E061E7"/>
    <w:rsid w:val="00E13587"/>
    <w:rsid w:val="00E82452"/>
    <w:rsid w:val="00EB065A"/>
    <w:rsid w:val="00EC1D4B"/>
    <w:rsid w:val="00ED069A"/>
    <w:rsid w:val="00EF1BE1"/>
    <w:rsid w:val="00F423A8"/>
    <w:rsid w:val="00F639D3"/>
    <w:rsid w:val="00F92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FE5B0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spacing w:before="240"/>
      <w:outlineLvl w:val="6"/>
    </w:pPr>
    <w:rPr>
      <w:szCs w:val="24"/>
    </w:rPr>
  </w:style>
  <w:style w:type="paragraph" w:styleId="Rubrik8">
    <w:name w:val="heading 8"/>
    <w:basedOn w:val="Normal"/>
    <w:next w:val="Normal"/>
    <w:uiPriority w:val="19"/>
    <w:semiHidden/>
    <w:rsid w:val="00BC4B91"/>
    <w:pPr>
      <w:spacing w:before="240"/>
      <w:outlineLvl w:val="7"/>
    </w:pPr>
    <w:rPr>
      <w:i/>
      <w:iCs/>
      <w:szCs w:val="24"/>
    </w:rPr>
  </w:style>
  <w:style w:type="paragraph" w:styleId="Rubrik9">
    <w:name w:val="heading 9"/>
    <w:basedOn w:val="Normal"/>
    <w:next w:val="Normal"/>
    <w:uiPriority w:val="19"/>
    <w:semiHidden/>
    <w:rsid w:val="00BC4B91"/>
    <w:p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pPr>
  </w:style>
  <w:style w:type="paragraph" w:styleId="Liststycke">
    <w:name w:val="List Paragraph"/>
    <w:basedOn w:val="Normal"/>
    <w:uiPriority w:val="34"/>
    <w:rsid w:val="00BD753F"/>
    <w:pPr>
      <w:ind w:left="720"/>
      <w:contextualSpacing/>
    </w:pPr>
  </w:style>
  <w:style w:type="character" w:styleId="Fotnotsreferens">
    <w:name w:val="footnote reference"/>
    <w:basedOn w:val="Standardstycketeckensnitt"/>
    <w:uiPriority w:val="19"/>
    <w:semiHidden/>
    <w:unhideWhenUsed/>
    <w:rsid w:val="004C4EEE"/>
    <w:rPr>
      <w:vertAlign w:val="superscript"/>
    </w:rPr>
  </w:style>
  <w:style w:type="character" w:styleId="Kommentarsreferens">
    <w:name w:val="annotation reference"/>
    <w:basedOn w:val="Standardstycketeckensnitt"/>
    <w:uiPriority w:val="19"/>
    <w:semiHidden/>
    <w:unhideWhenUsed/>
    <w:rsid w:val="00937313"/>
    <w:rPr>
      <w:sz w:val="16"/>
      <w:szCs w:val="16"/>
    </w:rPr>
  </w:style>
  <w:style w:type="paragraph" w:styleId="Kommentarer">
    <w:name w:val="annotation text"/>
    <w:basedOn w:val="Normal"/>
    <w:link w:val="KommentarerChar"/>
    <w:uiPriority w:val="19"/>
    <w:semiHidden/>
    <w:unhideWhenUsed/>
    <w:rsid w:val="00937313"/>
    <w:pPr>
      <w:spacing w:line="240" w:lineRule="auto"/>
    </w:pPr>
    <w:rPr>
      <w:sz w:val="20"/>
    </w:rPr>
  </w:style>
  <w:style w:type="character" w:customStyle="1" w:styleId="KommentarerChar">
    <w:name w:val="Kommentarer Char"/>
    <w:basedOn w:val="Standardstycketeckensnitt"/>
    <w:link w:val="Kommentarer"/>
    <w:uiPriority w:val="19"/>
    <w:semiHidden/>
    <w:rsid w:val="00937313"/>
    <w:rPr>
      <w:rFonts w:ascii="Arial" w:hAnsi="Arial"/>
    </w:rPr>
  </w:style>
  <w:style w:type="paragraph" w:styleId="Kommentarsmne">
    <w:name w:val="annotation subject"/>
    <w:basedOn w:val="Kommentarer"/>
    <w:next w:val="Kommentarer"/>
    <w:link w:val="KommentarsmneChar"/>
    <w:uiPriority w:val="19"/>
    <w:semiHidden/>
    <w:unhideWhenUsed/>
    <w:rsid w:val="00937313"/>
    <w:rPr>
      <w:b/>
      <w:bCs/>
    </w:rPr>
  </w:style>
  <w:style w:type="character" w:customStyle="1" w:styleId="KommentarsmneChar">
    <w:name w:val="Kommentarsämne Char"/>
    <w:basedOn w:val="KommentarerChar"/>
    <w:link w:val="Kommentarsmne"/>
    <w:uiPriority w:val="19"/>
    <w:semiHidden/>
    <w:rsid w:val="00937313"/>
    <w:rPr>
      <w:rFonts w:ascii="Arial" w:hAnsi="Arial"/>
      <w:b/>
      <w:bCs/>
    </w:rPr>
  </w:style>
  <w:style w:type="paragraph" w:styleId="Ballongtext">
    <w:name w:val="Balloon Text"/>
    <w:basedOn w:val="Normal"/>
    <w:link w:val="BallongtextChar"/>
    <w:uiPriority w:val="19"/>
    <w:semiHidden/>
    <w:unhideWhenUsed/>
    <w:rsid w:val="00937313"/>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937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4961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2004-03-23T14:30:00Z</cp:lastPrinted>
  <dcterms:created xsi:type="dcterms:W3CDTF">2020-10-25T16:38:00Z</dcterms:created>
  <dcterms:modified xsi:type="dcterms:W3CDTF">2020-10-27T16:57:00Z</dcterms:modified>
</cp:coreProperties>
</file>